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FCCC" w14:textId="77777777" w:rsidR="00970CDF" w:rsidRPr="00FF0D59" w:rsidRDefault="00970CDF" w:rsidP="005E3809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FF0D59">
        <w:rPr>
          <w:b/>
          <w:bCs/>
          <w:color w:val="auto"/>
          <w:sz w:val="20"/>
          <w:szCs w:val="20"/>
        </w:rPr>
        <w:t>BAYERISCHE GIGABITRICHTLINIE - BayGibitR</w:t>
      </w:r>
    </w:p>
    <w:p w14:paraId="7012E9A2" w14:textId="77777777" w:rsidR="00D63AFB" w:rsidRPr="00FF0D59" w:rsidRDefault="00D63AFB" w:rsidP="005E3809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2099EFA7" w14:textId="77777777" w:rsidR="000D477B" w:rsidRPr="00FF0D59" w:rsidRDefault="0086446E" w:rsidP="005E3809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FF0D59">
        <w:rPr>
          <w:b/>
          <w:bCs/>
          <w:color w:val="auto"/>
          <w:sz w:val="20"/>
          <w:szCs w:val="20"/>
        </w:rPr>
        <w:t>Gegenüberstellung</w:t>
      </w:r>
      <w:r w:rsidR="00030100" w:rsidRPr="00FF0D59">
        <w:rPr>
          <w:b/>
          <w:bCs/>
          <w:color w:val="auto"/>
          <w:sz w:val="20"/>
          <w:szCs w:val="20"/>
        </w:rPr>
        <w:t xml:space="preserve"> Betreibermodell und Wirtschaftlichkeitslückenmodell</w:t>
      </w:r>
    </w:p>
    <w:p w14:paraId="4C8BA0A0" w14:textId="77777777" w:rsidR="00D320C8" w:rsidRPr="00FF0D59" w:rsidRDefault="00D320C8" w:rsidP="005E3809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2"/>
        <w:gridCol w:w="3582"/>
        <w:gridCol w:w="3291"/>
      </w:tblGrid>
      <w:tr w:rsidR="00FF0D59" w:rsidRPr="00FF0D59" w14:paraId="2E8728D8" w14:textId="77777777" w:rsidTr="003D4547">
        <w:tc>
          <w:tcPr>
            <w:tcW w:w="2862" w:type="dxa"/>
            <w:shd w:val="clear" w:color="auto" w:fill="D9D9D9" w:themeFill="background1" w:themeFillShade="D9"/>
          </w:tcPr>
          <w:p w14:paraId="239DF47E" w14:textId="77777777" w:rsidR="00030100" w:rsidRPr="00FF0D59" w:rsidRDefault="00030100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D9D9D9" w:themeFill="background1" w:themeFillShade="D9"/>
          </w:tcPr>
          <w:p w14:paraId="7DB93B7E" w14:textId="77777777" w:rsidR="00030100" w:rsidRPr="00FF0D59" w:rsidRDefault="00030100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Betreibermodell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462C5A0B" w14:textId="77777777" w:rsidR="00030100" w:rsidRPr="00FF0D59" w:rsidRDefault="00030100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Wirtschaftlichkeitslückenmodell</w:t>
            </w:r>
          </w:p>
        </w:tc>
      </w:tr>
      <w:tr w:rsidR="00FF0D59" w:rsidRPr="00FF0D59" w14:paraId="1C1C2422" w14:textId="77777777" w:rsidTr="003D4547">
        <w:tc>
          <w:tcPr>
            <w:tcW w:w="2862" w:type="dxa"/>
          </w:tcPr>
          <w:p w14:paraId="1236BFF0" w14:textId="77777777" w:rsidR="00030100" w:rsidRPr="00FF0D59" w:rsidRDefault="00030100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Fördergegenstand</w:t>
            </w:r>
          </w:p>
        </w:tc>
        <w:tc>
          <w:tcPr>
            <w:tcW w:w="3582" w:type="dxa"/>
          </w:tcPr>
          <w:p w14:paraId="596E0904" w14:textId="77777777" w:rsidR="00030100" w:rsidRPr="00FF0D59" w:rsidRDefault="00B92FA1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Errichtungskosten für passive Infrastruktur</w:t>
            </w:r>
          </w:p>
        </w:tc>
        <w:tc>
          <w:tcPr>
            <w:tcW w:w="3291" w:type="dxa"/>
          </w:tcPr>
          <w:p w14:paraId="6D5CCC72" w14:textId="77777777" w:rsidR="00030100" w:rsidRPr="00FF0D59" w:rsidRDefault="00B92FA1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 xml:space="preserve">Prognostizierte </w:t>
            </w:r>
            <w:r w:rsidR="00000C3B" w:rsidRPr="00FF0D59">
              <w:rPr>
                <w:b/>
                <w:color w:val="auto"/>
                <w:sz w:val="20"/>
                <w:szCs w:val="20"/>
              </w:rPr>
              <w:t>Wirtschaftlichkeitslücke</w:t>
            </w:r>
            <w:r w:rsidR="00000C3B" w:rsidRPr="00FF0D59">
              <w:rPr>
                <w:color w:val="auto"/>
                <w:sz w:val="20"/>
                <w:szCs w:val="20"/>
              </w:rPr>
              <w:t xml:space="preserve"> </w:t>
            </w:r>
            <w:r w:rsidRPr="00FF0D59">
              <w:rPr>
                <w:color w:val="auto"/>
                <w:sz w:val="20"/>
                <w:szCs w:val="20"/>
              </w:rPr>
              <w:t xml:space="preserve">eines Netzbetreibers für </w:t>
            </w:r>
            <w:r w:rsidR="00000C3B" w:rsidRPr="00FF0D59">
              <w:rPr>
                <w:b/>
                <w:color w:val="auto"/>
                <w:sz w:val="20"/>
                <w:szCs w:val="20"/>
              </w:rPr>
              <w:t xml:space="preserve">Bau </w:t>
            </w:r>
            <w:r w:rsidR="00000C3B" w:rsidRPr="00FF0D59">
              <w:rPr>
                <w:b/>
                <w:color w:val="auto"/>
                <w:sz w:val="20"/>
                <w:szCs w:val="20"/>
                <w:u w:val="single"/>
              </w:rPr>
              <w:t>und</w:t>
            </w:r>
            <w:r w:rsidR="00000C3B" w:rsidRPr="00FF0D59">
              <w:rPr>
                <w:b/>
                <w:color w:val="auto"/>
                <w:sz w:val="20"/>
                <w:szCs w:val="20"/>
              </w:rPr>
              <w:t xml:space="preserve"> Betrieb</w:t>
            </w:r>
            <w:r w:rsidR="00000C3B" w:rsidRPr="00FF0D59">
              <w:rPr>
                <w:color w:val="auto"/>
                <w:sz w:val="20"/>
                <w:szCs w:val="20"/>
              </w:rPr>
              <w:t xml:space="preserve"> </w:t>
            </w:r>
            <w:r w:rsidRPr="00FF0D59">
              <w:rPr>
                <w:color w:val="auto"/>
                <w:sz w:val="20"/>
                <w:szCs w:val="20"/>
              </w:rPr>
              <w:t xml:space="preserve">eines TK-Netzes </w:t>
            </w:r>
          </w:p>
        </w:tc>
      </w:tr>
      <w:tr w:rsidR="00FF0D59" w:rsidRPr="00FF0D59" w14:paraId="39E0DA1A" w14:textId="77777777" w:rsidTr="003D4547">
        <w:tc>
          <w:tcPr>
            <w:tcW w:w="2862" w:type="dxa"/>
          </w:tcPr>
          <w:p w14:paraId="7EA2E36C" w14:textId="77777777" w:rsidR="00030100" w:rsidRPr="00FF0D59" w:rsidRDefault="00000C3B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Auswahlverfahren</w:t>
            </w:r>
          </w:p>
        </w:tc>
        <w:tc>
          <w:tcPr>
            <w:tcW w:w="3582" w:type="dxa"/>
          </w:tcPr>
          <w:p w14:paraId="49FB937B" w14:textId="77777777" w:rsidR="00AE003C" w:rsidRPr="00FF0D59" w:rsidRDefault="00AE003C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In der Regel </w:t>
            </w:r>
            <w:r w:rsidRPr="00FF0D59">
              <w:rPr>
                <w:b/>
                <w:color w:val="auto"/>
                <w:sz w:val="20"/>
                <w:szCs w:val="20"/>
              </w:rPr>
              <w:t>zwei Auswahlverfahren</w:t>
            </w:r>
            <w:r w:rsidRPr="00FF0D59">
              <w:rPr>
                <w:color w:val="auto"/>
                <w:sz w:val="20"/>
                <w:szCs w:val="20"/>
              </w:rPr>
              <w:t>:</w:t>
            </w:r>
          </w:p>
          <w:p w14:paraId="5355A93A" w14:textId="77777777" w:rsidR="00030100" w:rsidRPr="00FF0D59" w:rsidRDefault="00000C3B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(1) </w:t>
            </w:r>
            <w:r w:rsidR="00AE003C" w:rsidRPr="00FF0D59">
              <w:rPr>
                <w:b/>
                <w:color w:val="auto"/>
                <w:sz w:val="20"/>
                <w:szCs w:val="20"/>
              </w:rPr>
              <w:t>Ausschreibung des Netzbetriebs</w:t>
            </w:r>
            <w:r w:rsidR="00AE003C" w:rsidRPr="00FF0D59">
              <w:rPr>
                <w:color w:val="auto"/>
                <w:sz w:val="20"/>
                <w:szCs w:val="20"/>
              </w:rPr>
              <w:t xml:space="preserve">  </w:t>
            </w:r>
          </w:p>
          <w:p w14:paraId="184A0438" w14:textId="77777777" w:rsidR="004A43CC" w:rsidRPr="00FF0D59" w:rsidRDefault="00000C3B" w:rsidP="005E380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(2) </w:t>
            </w:r>
            <w:r w:rsidR="00AE003C" w:rsidRPr="00FF0D59">
              <w:rPr>
                <w:b/>
                <w:color w:val="auto"/>
                <w:sz w:val="20"/>
                <w:szCs w:val="20"/>
              </w:rPr>
              <w:t>Ausschreibung des Baus der passiven Infrastruktur</w:t>
            </w:r>
            <w:r w:rsidR="00AE003C" w:rsidRPr="00FF0D5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6A908C44" w14:textId="77777777" w:rsidR="00030100" w:rsidRPr="00FF0D59" w:rsidRDefault="00AE003C" w:rsidP="005E380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 xml:space="preserve">Nur ein Auswahlverfahren: </w:t>
            </w:r>
          </w:p>
          <w:p w14:paraId="4662082F" w14:textId="77777777" w:rsidR="00AE003C" w:rsidRPr="00FF0D59" w:rsidRDefault="00AE003C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Ausschreibung von Bau und Betrieb des Netzes</w:t>
            </w:r>
          </w:p>
        </w:tc>
      </w:tr>
      <w:tr w:rsidR="00FF0D59" w:rsidRPr="00FF0D59" w14:paraId="6421E7AC" w14:textId="77777777" w:rsidTr="003D4547">
        <w:tc>
          <w:tcPr>
            <w:tcW w:w="2862" w:type="dxa"/>
          </w:tcPr>
          <w:p w14:paraId="021BE7EC" w14:textId="77777777" w:rsidR="00030100" w:rsidRPr="00FF0D59" w:rsidRDefault="008A39C0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 xml:space="preserve">Auswahlkriterium </w:t>
            </w:r>
            <w:r w:rsidR="00AE003C" w:rsidRPr="00FF0D59">
              <w:rPr>
                <w:i/>
                <w:color w:val="auto"/>
                <w:sz w:val="20"/>
                <w:szCs w:val="20"/>
              </w:rPr>
              <w:t xml:space="preserve">für Ausschreibung des Netzbetreibers </w:t>
            </w:r>
            <w:r w:rsidRPr="00FF0D59">
              <w:rPr>
                <w:i/>
                <w:color w:val="auto"/>
                <w:sz w:val="20"/>
                <w:szCs w:val="20"/>
              </w:rPr>
              <w:t>mit höchster Gewichtung</w:t>
            </w:r>
          </w:p>
        </w:tc>
        <w:tc>
          <w:tcPr>
            <w:tcW w:w="3582" w:type="dxa"/>
          </w:tcPr>
          <w:p w14:paraId="039CFF5C" w14:textId="77777777" w:rsidR="00030100" w:rsidRPr="00FF0D59" w:rsidRDefault="008A39C0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Höhe der Pacht</w:t>
            </w:r>
          </w:p>
        </w:tc>
        <w:tc>
          <w:tcPr>
            <w:tcW w:w="3291" w:type="dxa"/>
          </w:tcPr>
          <w:p w14:paraId="38FD2FDC" w14:textId="77777777" w:rsidR="00030100" w:rsidRPr="00FF0D59" w:rsidRDefault="008A39C0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Höhe der Wirtschaftlichkeitslücke</w:t>
            </w:r>
          </w:p>
        </w:tc>
      </w:tr>
      <w:tr w:rsidR="00E95420" w:rsidRPr="00FF0D59" w14:paraId="165940AD" w14:textId="77777777" w:rsidTr="003D4547">
        <w:tc>
          <w:tcPr>
            <w:tcW w:w="2862" w:type="dxa"/>
          </w:tcPr>
          <w:p w14:paraId="12FFA445" w14:textId="34B6F147" w:rsidR="00E95420" w:rsidRPr="00FF0D59" w:rsidRDefault="00953772" w:rsidP="00953772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Berücksichtigung von Planungskosten/Leistungen</w:t>
            </w:r>
          </w:p>
        </w:tc>
        <w:tc>
          <w:tcPr>
            <w:tcW w:w="3582" w:type="dxa"/>
          </w:tcPr>
          <w:p w14:paraId="5A65855E" w14:textId="6E11D3A8" w:rsidR="00E95420" w:rsidRDefault="00E95420" w:rsidP="00E9542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A6D2C">
              <w:rPr>
                <w:color w:val="auto"/>
                <w:sz w:val="20"/>
                <w:szCs w:val="20"/>
              </w:rPr>
              <w:t>Zuwendungsfähig sind die Ausgaben für die Errichtung der passiven Infrastruktur abzüglich der Pachteinnahmen, hierzu zählen auch Planungskosten.</w:t>
            </w:r>
          </w:p>
          <w:p w14:paraId="744DB8EA" w14:textId="722531C1" w:rsidR="00E95420" w:rsidRPr="00FF0D59" w:rsidRDefault="007A6D2C" w:rsidP="00E95420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Weitere Informationen zur Berücksichtigung von Planungskosten, siehe "Hinwe</w:t>
            </w:r>
            <w:r w:rsidR="00953772">
              <w:rPr>
                <w:color w:val="auto"/>
                <w:sz w:val="20"/>
                <w:szCs w:val="20"/>
              </w:rPr>
              <w:t xml:space="preserve">isdokument Berechnungsblätter" </w:t>
            </w:r>
            <w:r>
              <w:rPr>
                <w:color w:val="auto"/>
                <w:sz w:val="20"/>
                <w:szCs w:val="20"/>
              </w:rPr>
              <w:t xml:space="preserve">unter Muster- und Hinweisdokumente </w:t>
            </w:r>
            <w:proofErr w:type="spellStart"/>
            <w:r>
              <w:rPr>
                <w:color w:val="auto"/>
                <w:sz w:val="20"/>
                <w:szCs w:val="20"/>
              </w:rPr>
              <w:t>BayGibitR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14:paraId="64BBDEA5" w14:textId="20FA5152" w:rsidR="00E95420" w:rsidRPr="007A6D2C" w:rsidRDefault="00E95420" w:rsidP="0095377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7A6D2C">
              <w:rPr>
                <w:color w:val="auto"/>
                <w:sz w:val="20"/>
                <w:szCs w:val="20"/>
              </w:rPr>
              <w:t>Planungs</w:t>
            </w:r>
            <w:r w:rsidR="00953772">
              <w:rPr>
                <w:color w:val="auto"/>
                <w:sz w:val="20"/>
                <w:szCs w:val="20"/>
              </w:rPr>
              <w:t>leistungen</w:t>
            </w:r>
            <w:r w:rsidRPr="007A6D2C">
              <w:rPr>
                <w:color w:val="auto"/>
                <w:sz w:val="20"/>
                <w:szCs w:val="20"/>
              </w:rPr>
              <w:t xml:space="preserve"> sind Bestandteil des Angebotes des Netzbetreibers</w:t>
            </w:r>
            <w:r w:rsidR="007A6D2C">
              <w:rPr>
                <w:color w:val="auto"/>
                <w:sz w:val="20"/>
                <w:szCs w:val="20"/>
              </w:rPr>
              <w:t>.</w:t>
            </w:r>
          </w:p>
        </w:tc>
      </w:tr>
      <w:tr w:rsidR="00FF0D59" w:rsidRPr="00FF0D59" w14:paraId="305109E8" w14:textId="77777777" w:rsidTr="003D4547">
        <w:tc>
          <w:tcPr>
            <w:tcW w:w="2862" w:type="dxa"/>
          </w:tcPr>
          <w:p w14:paraId="03C19D76" w14:textId="77777777" w:rsidR="00030100" w:rsidRPr="00FF0D59" w:rsidRDefault="00817586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Maßnahmenbeginn</w:t>
            </w:r>
          </w:p>
        </w:tc>
        <w:tc>
          <w:tcPr>
            <w:tcW w:w="3582" w:type="dxa"/>
          </w:tcPr>
          <w:p w14:paraId="35C26187" w14:textId="77777777" w:rsidR="00030100" w:rsidRPr="00FF0D59" w:rsidRDefault="00817586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Abschluss eines Vertrags</w:t>
            </w:r>
            <w:r w:rsidR="00AE003C" w:rsidRPr="00FF0D59">
              <w:rPr>
                <w:b/>
                <w:color w:val="auto"/>
                <w:sz w:val="20"/>
                <w:szCs w:val="20"/>
              </w:rPr>
              <w:t xml:space="preserve"> des Zuwendungsempfängers mit dem ausgewählten (Tie</w:t>
            </w:r>
            <w:r w:rsidR="009D42F6" w:rsidRPr="00FF0D59">
              <w:rPr>
                <w:b/>
                <w:color w:val="auto"/>
                <w:sz w:val="20"/>
                <w:szCs w:val="20"/>
              </w:rPr>
              <w:t>fbau-)</w:t>
            </w:r>
            <w:r w:rsidR="00851FCB" w:rsidRPr="00FF0D59">
              <w:rPr>
                <w:b/>
                <w:color w:val="auto"/>
                <w:sz w:val="20"/>
                <w:szCs w:val="20"/>
              </w:rPr>
              <w:t xml:space="preserve"> </w:t>
            </w:r>
            <w:r w:rsidR="009D42F6" w:rsidRPr="00FF0D59">
              <w:rPr>
                <w:b/>
                <w:color w:val="auto"/>
                <w:sz w:val="20"/>
                <w:szCs w:val="20"/>
              </w:rPr>
              <w:t>Unternehmen</w:t>
            </w:r>
            <w:r w:rsidR="009D42F6" w:rsidRPr="00FF0D59">
              <w:rPr>
                <w:color w:val="auto"/>
                <w:sz w:val="20"/>
                <w:szCs w:val="20"/>
              </w:rPr>
              <w:t>, welches</w:t>
            </w:r>
            <w:r w:rsidR="00AE003C" w:rsidRPr="00FF0D59">
              <w:rPr>
                <w:color w:val="auto"/>
                <w:sz w:val="20"/>
                <w:szCs w:val="20"/>
              </w:rPr>
              <w:t xml:space="preserve"> die passive Infrastruktur errichtet</w:t>
            </w:r>
            <w:r w:rsidRPr="00FF0D59">
              <w:rPr>
                <w:color w:val="auto"/>
                <w:sz w:val="20"/>
                <w:szCs w:val="20"/>
              </w:rPr>
              <w:t xml:space="preserve"> </w:t>
            </w:r>
            <w:r w:rsidR="009D42F6" w:rsidRPr="00FF0D59">
              <w:rPr>
                <w:color w:val="auto"/>
                <w:sz w:val="20"/>
                <w:szCs w:val="20"/>
              </w:rPr>
              <w:t xml:space="preserve">(bzw. </w:t>
            </w:r>
            <w:r w:rsidRPr="00FF0D59">
              <w:rPr>
                <w:color w:val="auto"/>
                <w:sz w:val="20"/>
                <w:szCs w:val="20"/>
              </w:rPr>
              <w:t>der Beginn von Baumaßnahmen</w:t>
            </w:r>
            <w:r w:rsidR="009D42F6" w:rsidRPr="00FF0D59">
              <w:rPr>
                <w:color w:val="auto"/>
                <w:sz w:val="20"/>
                <w:szCs w:val="20"/>
              </w:rPr>
              <w:t>)</w:t>
            </w:r>
            <w:r w:rsidR="0080697B" w:rsidRPr="00FF0D59">
              <w:rPr>
                <w:color w:val="auto"/>
                <w:sz w:val="20"/>
                <w:szCs w:val="20"/>
              </w:rPr>
              <w:t>,</w:t>
            </w:r>
            <w:r w:rsidR="009D42F6" w:rsidRPr="00FF0D59">
              <w:rPr>
                <w:color w:val="auto"/>
                <w:sz w:val="20"/>
                <w:szCs w:val="20"/>
              </w:rPr>
              <w:t xml:space="preserve"> </w:t>
            </w:r>
          </w:p>
          <w:p w14:paraId="7D245194" w14:textId="3F394731" w:rsidR="0080697B" w:rsidRPr="00FF0D59" w:rsidRDefault="0080697B" w:rsidP="0080697B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bei vorher erfolgtem Abschluss des Vertrages mit Netzbetreiber aufschiebende Bedingung gem. § 21 des Muster-Pacht- und Betreibervertrages notwendig</w:t>
            </w:r>
            <w:r w:rsidR="007A6D2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14:paraId="755A9D4A" w14:textId="6ACC62EB" w:rsidR="00030100" w:rsidRPr="00FF0D59" w:rsidRDefault="00817586" w:rsidP="005E380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Abschluss eines Vertrages des Zuwendungsempfängers mit dem ausgewählten Netzbetreiber</w:t>
            </w:r>
            <w:r w:rsidR="007A6D2C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  <w:tr w:rsidR="002F2659" w:rsidRPr="00FF0D59" w14:paraId="356E7B1A" w14:textId="77777777" w:rsidTr="003D4547">
        <w:tc>
          <w:tcPr>
            <w:tcW w:w="2862" w:type="dxa"/>
          </w:tcPr>
          <w:p w14:paraId="0D839537" w14:textId="77777777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Angabe im Förderantrag in Bezug auf Fördergegenstand</w:t>
            </w:r>
          </w:p>
          <w:p w14:paraId="615E4C6F" w14:textId="4E61804B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582" w:type="dxa"/>
          </w:tcPr>
          <w:p w14:paraId="7B3B13E1" w14:textId="77777777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Aufgegliederte Darstellung der </w:t>
            </w:r>
            <w:r w:rsidRPr="00FF0D59">
              <w:rPr>
                <w:b/>
                <w:color w:val="auto"/>
                <w:sz w:val="20"/>
                <w:szCs w:val="20"/>
              </w:rPr>
              <w:t>Ausgaben für die Errichtung der passiven Infrastruktur</w:t>
            </w:r>
            <w:r w:rsidRPr="00FF0D59">
              <w:rPr>
                <w:color w:val="auto"/>
                <w:sz w:val="20"/>
                <w:szCs w:val="20"/>
              </w:rPr>
              <w:t xml:space="preserve"> sowie </w:t>
            </w:r>
            <w:r w:rsidRPr="00FF0D59">
              <w:rPr>
                <w:b/>
                <w:color w:val="auto"/>
                <w:sz w:val="20"/>
                <w:szCs w:val="20"/>
              </w:rPr>
              <w:t>Angaben zu den voraussichtlichen Pachteinnahmen für einen Zeitraum von mindestens sieben Jahren</w:t>
            </w:r>
            <w:r w:rsidRPr="00FF0D59">
              <w:rPr>
                <w:color w:val="auto"/>
                <w:sz w:val="20"/>
                <w:szCs w:val="20"/>
              </w:rPr>
              <w:t xml:space="preserve"> ab Inbetriebnahme des Netzes. </w:t>
            </w:r>
          </w:p>
          <w:p w14:paraId="247689F6" w14:textId="77777777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  <w:p w14:paraId="79A71F94" w14:textId="72977982" w:rsidR="002F2659" w:rsidRPr="00FF0D59" w:rsidRDefault="002F2659" w:rsidP="005E380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u w:val="single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Die im Antrag aufgeführten Ausgaben müssen durch ein </w:t>
            </w:r>
            <w:r w:rsidRPr="00FF0D59">
              <w:rPr>
                <w:b/>
                <w:color w:val="auto"/>
                <w:sz w:val="20"/>
                <w:szCs w:val="20"/>
              </w:rPr>
              <w:t>konkretes Angebot</w:t>
            </w:r>
            <w:r w:rsidRPr="00FF0D59">
              <w:rPr>
                <w:color w:val="auto"/>
                <w:sz w:val="20"/>
                <w:szCs w:val="20"/>
              </w:rPr>
              <w:t xml:space="preserve"> für die </w:t>
            </w:r>
            <w:r w:rsidRPr="00FF0D59">
              <w:rPr>
                <w:b/>
                <w:color w:val="auto"/>
                <w:sz w:val="20"/>
                <w:szCs w:val="20"/>
              </w:rPr>
              <w:t>Planung</w:t>
            </w:r>
            <w:r w:rsidRPr="00FF0D59">
              <w:rPr>
                <w:color w:val="auto"/>
                <w:sz w:val="20"/>
                <w:szCs w:val="20"/>
              </w:rPr>
              <w:t xml:space="preserve"> und </w:t>
            </w:r>
            <w:r w:rsidRPr="00FF0D59">
              <w:rPr>
                <w:b/>
                <w:color w:val="auto"/>
                <w:sz w:val="20"/>
                <w:szCs w:val="20"/>
              </w:rPr>
              <w:t>Errichtung</w:t>
            </w:r>
            <w:r w:rsidRPr="00FF0D59">
              <w:rPr>
                <w:color w:val="auto"/>
                <w:sz w:val="20"/>
                <w:szCs w:val="20"/>
              </w:rPr>
              <w:t xml:space="preserve"> der </w:t>
            </w:r>
            <w:r w:rsidRPr="00FF0D59">
              <w:rPr>
                <w:b/>
                <w:color w:val="auto"/>
                <w:sz w:val="20"/>
                <w:szCs w:val="20"/>
              </w:rPr>
              <w:t>gesamten passiven Infrastruktur</w:t>
            </w:r>
            <w:r w:rsidRPr="00FF0D59">
              <w:rPr>
                <w:color w:val="auto"/>
                <w:sz w:val="20"/>
                <w:szCs w:val="20"/>
              </w:rPr>
              <w:t xml:space="preserve"> nachgewiesen werden</w:t>
            </w:r>
            <w:r>
              <w:rPr>
                <w:color w:val="auto"/>
                <w:sz w:val="20"/>
                <w:szCs w:val="20"/>
              </w:rPr>
              <w:t>.</w:t>
            </w:r>
            <w:r w:rsidRPr="00FF0D59">
              <w:rPr>
                <w:color w:val="auto"/>
                <w:sz w:val="20"/>
                <w:szCs w:val="20"/>
              </w:rPr>
              <w:t xml:space="preserve"> (keine reine Kostenschätzungen)</w:t>
            </w:r>
          </w:p>
        </w:tc>
        <w:tc>
          <w:tcPr>
            <w:tcW w:w="3291" w:type="dxa"/>
          </w:tcPr>
          <w:p w14:paraId="1B736821" w14:textId="581C4F92" w:rsidR="002F2659" w:rsidRPr="00FF0D59" w:rsidRDefault="002F2659" w:rsidP="00CE6A47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u w:val="single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Plausible Darstellung der prognostizierten </w:t>
            </w:r>
            <w:r w:rsidRPr="00FF0D59">
              <w:rPr>
                <w:b/>
                <w:color w:val="auto"/>
                <w:sz w:val="20"/>
                <w:szCs w:val="20"/>
              </w:rPr>
              <w:t xml:space="preserve">Wirtschaftlichkeitslücke </w:t>
            </w:r>
            <w:r w:rsidRPr="00FF0D59">
              <w:rPr>
                <w:color w:val="auto"/>
                <w:sz w:val="20"/>
                <w:szCs w:val="20"/>
              </w:rPr>
              <w:t>für einen Zeitraum von sieben Jahren ab Inbetriebnahme des Netzes</w:t>
            </w:r>
            <w:r>
              <w:rPr>
                <w:color w:val="auto"/>
                <w:sz w:val="20"/>
                <w:szCs w:val="20"/>
              </w:rPr>
              <w:t>.</w:t>
            </w:r>
            <w:r w:rsidRPr="00FF0D59">
              <w:rPr>
                <w:color w:val="auto"/>
                <w:sz w:val="20"/>
                <w:szCs w:val="20"/>
              </w:rPr>
              <w:t xml:space="preserve"> (aus Angebot des ausgewählten Netzbetreibers)</w:t>
            </w:r>
          </w:p>
        </w:tc>
      </w:tr>
      <w:tr w:rsidR="002F2659" w:rsidRPr="00FF0D59" w14:paraId="776BD12B" w14:textId="77777777" w:rsidTr="003D4547">
        <w:tc>
          <w:tcPr>
            <w:tcW w:w="2862" w:type="dxa"/>
          </w:tcPr>
          <w:p w14:paraId="3531A269" w14:textId="51258914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lastRenderedPageBreak/>
              <w:t>Dokumentation</w:t>
            </w:r>
            <w:r w:rsidRPr="00FF0D59">
              <w:rPr>
                <w:i/>
                <w:color w:val="auto"/>
                <w:sz w:val="20"/>
                <w:szCs w:val="20"/>
              </w:rPr>
              <w:br/>
              <w:t>(abschließende Projektbeschreibung)</w:t>
            </w:r>
          </w:p>
        </w:tc>
        <w:tc>
          <w:tcPr>
            <w:tcW w:w="3582" w:type="dxa"/>
          </w:tcPr>
          <w:p w14:paraId="03904126" w14:textId="6C0E15D8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Angaben zur Höhe der Herstellungskosten für passive Infrastruktur</w:t>
            </w:r>
          </w:p>
        </w:tc>
        <w:tc>
          <w:tcPr>
            <w:tcW w:w="3291" w:type="dxa"/>
          </w:tcPr>
          <w:p w14:paraId="502004FA" w14:textId="19C9ED6A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Angaben zur Höhe der Wirtschaftlichkeitslücke</w:t>
            </w:r>
          </w:p>
        </w:tc>
      </w:tr>
      <w:tr w:rsidR="002F2659" w:rsidRPr="00FF0D59" w14:paraId="7E45A40D" w14:textId="77777777" w:rsidTr="003D4547">
        <w:tc>
          <w:tcPr>
            <w:tcW w:w="2862" w:type="dxa"/>
          </w:tcPr>
          <w:p w14:paraId="7E446377" w14:textId="585C550C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Verwendungsnachweis</w:t>
            </w:r>
          </w:p>
        </w:tc>
        <w:tc>
          <w:tcPr>
            <w:tcW w:w="3582" w:type="dxa"/>
          </w:tcPr>
          <w:p w14:paraId="133076DB" w14:textId="77777777" w:rsidR="002F2659" w:rsidRPr="00FF0D59" w:rsidRDefault="002F2659" w:rsidP="005E3809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 xml:space="preserve">Bei </w:t>
            </w:r>
            <w:r w:rsidRPr="00FF0D59">
              <w:rPr>
                <w:b/>
                <w:color w:val="auto"/>
                <w:sz w:val="20"/>
                <w:szCs w:val="20"/>
                <w:u w:val="single"/>
              </w:rPr>
              <w:t>nutzungsabhängiger</w:t>
            </w:r>
            <w:r w:rsidRPr="00FF0D59">
              <w:rPr>
                <w:b/>
                <w:color w:val="auto"/>
                <w:sz w:val="20"/>
                <w:szCs w:val="20"/>
              </w:rPr>
              <w:t xml:space="preserve"> Pacht: </w:t>
            </w:r>
            <w:r w:rsidRPr="00FF0D59">
              <w:rPr>
                <w:color w:val="auto"/>
                <w:sz w:val="20"/>
                <w:szCs w:val="20"/>
              </w:rPr>
              <w:br/>
            </w:r>
          </w:p>
          <w:p w14:paraId="454C722B" w14:textId="77777777" w:rsidR="002F2659" w:rsidRPr="00FF0D59" w:rsidRDefault="002F2659" w:rsidP="005E3809">
            <w:pPr>
              <w:pStyle w:val="Default"/>
              <w:spacing w:line="276" w:lineRule="auto"/>
              <w:ind w:left="720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Zwischenverwendungs-nachweis</w:t>
            </w:r>
            <w:r w:rsidRPr="00FF0D59">
              <w:rPr>
                <w:color w:val="auto"/>
                <w:sz w:val="20"/>
                <w:szCs w:val="20"/>
              </w:rPr>
              <w:t xml:space="preserve"> bei Inbetriebnahme des Netzes mit Zuschussauszahlung (zu diesem Zeitpunkt stehen nur die tatsächlichen Errichtungskosten der passiven Infrastruktur fest): Tatsächliche Errichtungskosten abzüglich der laut Angebot des Netzbetreibers voraussichtlich erzielbaren Pachteinnahmen für einen Zeitraum von sieben Jahren ab Inbetriebnahme des Netzes (vgl. Nr. 12.1 f BayGibitR). Die Angaben im Angebot des Netzbetreibers müssen daher geeignet sein, um in den Zeilen 16-19 des Musterberechnungsblattes die voraussichtlichen Pachteinnahmen darzustellen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20C4C7D2" w14:textId="77777777" w:rsidR="002F2659" w:rsidRPr="00FF0D59" w:rsidRDefault="002F2659" w:rsidP="005E3809">
            <w:pPr>
              <w:pStyle w:val="Default"/>
              <w:spacing w:line="276" w:lineRule="auto"/>
              <w:ind w:left="720"/>
              <w:rPr>
                <w:b/>
                <w:color w:val="auto"/>
                <w:sz w:val="20"/>
                <w:szCs w:val="20"/>
              </w:rPr>
            </w:pPr>
          </w:p>
          <w:p w14:paraId="6C5DA379" w14:textId="5DFC21D1" w:rsidR="00981D5E" w:rsidRPr="00FF0D59" w:rsidRDefault="002F2659" w:rsidP="00981D5E">
            <w:pPr>
              <w:pStyle w:val="Default"/>
              <w:spacing w:line="276" w:lineRule="auto"/>
              <w:ind w:left="720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Endverwendungsnachweis</w:t>
            </w:r>
            <w:r w:rsidRPr="00FF0D59">
              <w:rPr>
                <w:color w:val="auto"/>
                <w:sz w:val="20"/>
                <w:szCs w:val="20"/>
              </w:rPr>
              <w:t xml:space="preserve"> nach 7 Jahren zu den tatsächlichen Errichtungskosten </w:t>
            </w:r>
            <w:r w:rsidR="00981D5E">
              <w:rPr>
                <w:color w:val="auto"/>
                <w:sz w:val="20"/>
                <w:szCs w:val="20"/>
              </w:rPr>
              <w:t xml:space="preserve">(Kostenmehrungen sind nicht förderfähig) </w:t>
            </w:r>
            <w:r w:rsidRPr="00FF0D59">
              <w:rPr>
                <w:color w:val="auto"/>
                <w:sz w:val="20"/>
                <w:szCs w:val="20"/>
              </w:rPr>
              <w:t xml:space="preserve">abzüglich der </w:t>
            </w:r>
            <w:r w:rsidRPr="00FF0D59">
              <w:rPr>
                <w:color w:val="auto"/>
                <w:sz w:val="20"/>
                <w:szCs w:val="20"/>
                <w:u w:val="single"/>
              </w:rPr>
              <w:t>tatsächlich</w:t>
            </w:r>
            <w:r w:rsidRPr="00FF0D59">
              <w:rPr>
                <w:color w:val="auto"/>
                <w:sz w:val="20"/>
                <w:szCs w:val="20"/>
              </w:rPr>
              <w:t xml:space="preserve"> über den Zeitraum von 7 Jahren erzielten Pachteinnahmen</w:t>
            </w:r>
            <w:r w:rsidR="00981D5E">
              <w:rPr>
                <w:color w:val="auto"/>
                <w:sz w:val="20"/>
                <w:szCs w:val="20"/>
              </w:rPr>
              <w:t>.</w:t>
            </w:r>
            <w:r w:rsidRPr="00FF0D59">
              <w:rPr>
                <w:color w:val="auto"/>
                <w:sz w:val="20"/>
                <w:szCs w:val="20"/>
              </w:rPr>
              <w:t xml:space="preserve"> </w:t>
            </w:r>
            <w:r w:rsidR="00981D5E">
              <w:rPr>
                <w:color w:val="auto"/>
                <w:sz w:val="20"/>
                <w:szCs w:val="20"/>
              </w:rPr>
              <w:t>(Erst zu diesem Zeitpunkt steht deren Höhe endgültig fest.) Mindereinnahmen führen nicht zu einer Erhöhung der Förderung.</w:t>
            </w:r>
            <w:bookmarkStart w:id="0" w:name="_GoBack"/>
            <w:bookmarkEnd w:id="0"/>
          </w:p>
          <w:p w14:paraId="04AC7BBD" w14:textId="77777777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  <w:p w14:paraId="6813B895" w14:textId="77777777" w:rsidR="002F2659" w:rsidRPr="00FF0D59" w:rsidRDefault="002F2659" w:rsidP="005E3809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 xml:space="preserve">Bei </w:t>
            </w:r>
            <w:r w:rsidRPr="00FF0D59">
              <w:rPr>
                <w:b/>
                <w:color w:val="auto"/>
                <w:sz w:val="20"/>
                <w:szCs w:val="20"/>
                <w:u w:val="single"/>
              </w:rPr>
              <w:t>nutzungsunabhängiger</w:t>
            </w:r>
            <w:r w:rsidRPr="00FF0D59">
              <w:rPr>
                <w:b/>
                <w:color w:val="auto"/>
                <w:sz w:val="20"/>
                <w:szCs w:val="20"/>
              </w:rPr>
              <w:t xml:space="preserve"> Pacht</w:t>
            </w:r>
            <w:r w:rsidRPr="00FF0D59">
              <w:rPr>
                <w:color w:val="auto"/>
                <w:sz w:val="20"/>
                <w:szCs w:val="20"/>
              </w:rPr>
              <w:t xml:space="preserve">: </w:t>
            </w:r>
          </w:p>
          <w:p w14:paraId="579D0B70" w14:textId="77777777" w:rsidR="002F2659" w:rsidRPr="00FF0D59" w:rsidRDefault="002F2659" w:rsidP="005E3809">
            <w:pPr>
              <w:pStyle w:val="Listenabsatz"/>
              <w:spacing w:line="276" w:lineRule="auto"/>
              <w:rPr>
                <w:b/>
                <w:sz w:val="20"/>
                <w:szCs w:val="20"/>
              </w:rPr>
            </w:pPr>
          </w:p>
          <w:p w14:paraId="20A8CE62" w14:textId="3ECCA353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>Verwendungsnachweis nach Inbetriebnahme</w:t>
            </w:r>
            <w:r w:rsidRPr="00FF0D59">
              <w:rPr>
                <w:color w:val="auto"/>
                <w:sz w:val="20"/>
                <w:szCs w:val="20"/>
              </w:rPr>
              <w:t xml:space="preserve"> des Netzes</w:t>
            </w:r>
          </w:p>
        </w:tc>
        <w:tc>
          <w:tcPr>
            <w:tcW w:w="3291" w:type="dxa"/>
          </w:tcPr>
          <w:p w14:paraId="07024CB6" w14:textId="3512F83F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b/>
                <w:color w:val="auto"/>
                <w:sz w:val="20"/>
                <w:szCs w:val="20"/>
              </w:rPr>
              <w:t xml:space="preserve">Nach Inbetriebnahme des Netzes </w:t>
            </w:r>
            <w:r w:rsidRPr="00FF0D59">
              <w:rPr>
                <w:color w:val="auto"/>
                <w:sz w:val="20"/>
                <w:szCs w:val="20"/>
              </w:rPr>
              <w:t>(da Gegenstand der Förderung die prognostizierte</w:t>
            </w:r>
            <w:r w:rsidRPr="00FF0D59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FF0D59">
              <w:rPr>
                <w:color w:val="auto"/>
                <w:sz w:val="20"/>
                <w:szCs w:val="20"/>
              </w:rPr>
              <w:t>Wirtschaftlichkeitslücke ist und eine Nachkalkulation i.d.R. nicht stattfindet, stehen die zuwendungsfähigen Kosten mit Inbetriebnahme des Netzes endgültig fest)</w:t>
            </w:r>
          </w:p>
        </w:tc>
      </w:tr>
      <w:tr w:rsidR="002F2659" w:rsidRPr="00FF0D59" w14:paraId="4AE0951A" w14:textId="77777777" w:rsidTr="003D4547">
        <w:tc>
          <w:tcPr>
            <w:tcW w:w="2862" w:type="dxa"/>
          </w:tcPr>
          <w:p w14:paraId="50B380EE" w14:textId="75D5AFC4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Rückforderungsmechanismus</w:t>
            </w:r>
            <w:r w:rsidRPr="00FF0D59">
              <w:rPr>
                <w:i/>
                <w:color w:val="auto"/>
                <w:sz w:val="20"/>
                <w:szCs w:val="20"/>
              </w:rPr>
              <w:br/>
            </w:r>
          </w:p>
        </w:tc>
        <w:tc>
          <w:tcPr>
            <w:tcW w:w="3582" w:type="dxa"/>
          </w:tcPr>
          <w:p w14:paraId="72377492" w14:textId="1A21824A" w:rsidR="002F2659" w:rsidRPr="00FF0D59" w:rsidRDefault="002F2659" w:rsidP="00FF0D59">
            <w:pPr>
              <w:pStyle w:val="Default"/>
              <w:spacing w:line="276" w:lineRule="auto"/>
              <w:ind w:left="720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Rückforderungsmechanismus nur bei Investitionskosten von 10 Mio. Euro und mehr und </w:t>
            </w:r>
            <w:r w:rsidRPr="00FF0D59">
              <w:rPr>
                <w:color w:val="auto"/>
                <w:sz w:val="20"/>
                <w:szCs w:val="20"/>
              </w:rPr>
              <w:lastRenderedPageBreak/>
              <w:t>Vereinbarung einer festen (nicht nutzerabhängigen) Pacht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291" w:type="dxa"/>
          </w:tcPr>
          <w:p w14:paraId="547FEE2A" w14:textId="3B37A142" w:rsidR="002F2659" w:rsidRPr="00FF0D59" w:rsidRDefault="002F2659" w:rsidP="005E3809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lastRenderedPageBreak/>
              <w:t xml:space="preserve">Rückforderungsmechanismus, nur, wenn Wirtschaftlichkeitslücke 10 Mio. Euro oder mehr beträgt. </w:t>
            </w:r>
          </w:p>
        </w:tc>
      </w:tr>
      <w:tr w:rsidR="002F2659" w:rsidRPr="00FF0D59" w14:paraId="5576AF96" w14:textId="77777777" w:rsidTr="003D4547">
        <w:tc>
          <w:tcPr>
            <w:tcW w:w="2862" w:type="dxa"/>
          </w:tcPr>
          <w:p w14:paraId="24C4EA1A" w14:textId="7F1EB717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 xml:space="preserve">Einbringen von Eigenleistungen </w:t>
            </w:r>
          </w:p>
        </w:tc>
        <w:tc>
          <w:tcPr>
            <w:tcW w:w="3582" w:type="dxa"/>
          </w:tcPr>
          <w:p w14:paraId="3155B140" w14:textId="65298550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Zuwendungsempfänger kann passive Infrastruktur (ganz oder teilweise) selbst errichten. Ausgaben zur Errichtung der passiven Infrastruktur sind Gegenstand der Förderung</w:t>
            </w:r>
            <w:r>
              <w:rPr>
                <w:color w:val="auto"/>
                <w:sz w:val="20"/>
                <w:szCs w:val="20"/>
              </w:rPr>
              <w:t>.</w:t>
            </w:r>
            <w:r w:rsidRPr="00FF0D59">
              <w:rPr>
                <w:color w:val="auto"/>
                <w:sz w:val="20"/>
                <w:szCs w:val="20"/>
              </w:rPr>
              <w:t xml:space="preserve"> (Ausnahme: Personalkosten eigener Mitarbeiter)</w:t>
            </w:r>
          </w:p>
        </w:tc>
        <w:tc>
          <w:tcPr>
            <w:tcW w:w="3291" w:type="dxa"/>
          </w:tcPr>
          <w:p w14:paraId="3F7DBADE" w14:textId="3A25C0E9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Zuwendungsempfänger kann passive Infrastruktur (ganz oder teilweise) selbst errichten und im Auswahlverfahren des Netzbetreibers zur Mitnutzung anbieten</w:t>
            </w:r>
            <w:r w:rsidR="00595AB3">
              <w:rPr>
                <w:color w:val="auto"/>
                <w:sz w:val="20"/>
                <w:szCs w:val="20"/>
              </w:rPr>
              <w:t xml:space="preserve"> (z.B. gegen Pacht oder Kauf). Eigenleistungen der Kommune</w:t>
            </w:r>
            <w:r w:rsidRPr="00FF0D59">
              <w:rPr>
                <w:color w:val="auto"/>
                <w:sz w:val="20"/>
                <w:szCs w:val="20"/>
              </w:rPr>
              <w:t xml:space="preserve"> sind jedoch nicht Gegenstand der Förderung. </w:t>
            </w:r>
          </w:p>
        </w:tc>
      </w:tr>
      <w:tr w:rsidR="002F2659" w:rsidRPr="00FF0D59" w14:paraId="5DD29752" w14:textId="77777777" w:rsidTr="003D4547">
        <w:tc>
          <w:tcPr>
            <w:tcW w:w="2862" w:type="dxa"/>
          </w:tcPr>
          <w:p w14:paraId="453AFEA2" w14:textId="3C1B3B35" w:rsidR="002F2659" w:rsidRPr="00FF0D59" w:rsidRDefault="002F2659" w:rsidP="005E3809">
            <w:pPr>
              <w:pStyle w:val="Default"/>
              <w:spacing w:line="276" w:lineRule="auto"/>
              <w:rPr>
                <w:i/>
                <w:color w:val="auto"/>
                <w:sz w:val="20"/>
                <w:szCs w:val="20"/>
              </w:rPr>
            </w:pPr>
            <w:r w:rsidRPr="00FF0D59">
              <w:rPr>
                <w:i/>
                <w:color w:val="auto"/>
                <w:sz w:val="20"/>
                <w:szCs w:val="20"/>
              </w:rPr>
              <w:t>Einbringen von Bestandsinfrastruktur</w:t>
            </w:r>
          </w:p>
        </w:tc>
        <w:tc>
          <w:tcPr>
            <w:tcW w:w="3582" w:type="dxa"/>
          </w:tcPr>
          <w:p w14:paraId="03477156" w14:textId="5518A5C6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>Eine nachträgliche Förderung bereits errichteter Infrastruktur ist nicht möglich.</w:t>
            </w:r>
          </w:p>
        </w:tc>
        <w:tc>
          <w:tcPr>
            <w:tcW w:w="3291" w:type="dxa"/>
          </w:tcPr>
          <w:p w14:paraId="66D3939B" w14:textId="68A19CEC" w:rsidR="002F2659" w:rsidRPr="00FF0D59" w:rsidRDefault="002F2659" w:rsidP="005E380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F0D59">
              <w:rPr>
                <w:color w:val="auto"/>
                <w:sz w:val="20"/>
                <w:szCs w:val="20"/>
              </w:rPr>
              <w:t xml:space="preserve">Ausgaben des Netzbetreibers für Erwerb oder </w:t>
            </w:r>
            <w:proofErr w:type="spellStart"/>
            <w:r w:rsidRPr="00FF0D59">
              <w:rPr>
                <w:color w:val="auto"/>
                <w:sz w:val="20"/>
                <w:szCs w:val="20"/>
              </w:rPr>
              <w:t>Anpachtung</w:t>
            </w:r>
            <w:proofErr w:type="spellEnd"/>
            <w:r w:rsidRPr="00FF0D59">
              <w:rPr>
                <w:color w:val="auto"/>
                <w:sz w:val="20"/>
                <w:szCs w:val="20"/>
              </w:rPr>
              <w:t xml:space="preserve"> von kommunaler Infrastruktur können in die Kalkulation der Wirtschaftlichkeitslücke des Netzbetreibers einfließen (und damit mittelbar Gegenstand der Förderung werden). </w:t>
            </w:r>
          </w:p>
        </w:tc>
      </w:tr>
    </w:tbl>
    <w:p w14:paraId="6E934A3B" w14:textId="77777777" w:rsidR="00030100" w:rsidRPr="00FF0D59" w:rsidRDefault="00030100" w:rsidP="005E3809">
      <w:pPr>
        <w:pStyle w:val="Default"/>
        <w:spacing w:line="276" w:lineRule="auto"/>
        <w:rPr>
          <w:color w:val="auto"/>
          <w:sz w:val="20"/>
          <w:szCs w:val="20"/>
        </w:rPr>
      </w:pPr>
    </w:p>
    <w:sectPr w:rsidR="00030100" w:rsidRPr="00FF0D59" w:rsidSect="00FF0D59">
      <w:footerReference w:type="default" r:id="rId11"/>
      <w:pgSz w:w="11906" w:h="17338"/>
      <w:pgMar w:top="1021" w:right="936" w:bottom="658" w:left="12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53BD" w14:textId="77777777" w:rsidR="008C7492" w:rsidRDefault="008C7492" w:rsidP="00D26391">
      <w:pPr>
        <w:spacing w:after="0" w:line="240" w:lineRule="auto"/>
      </w:pPr>
      <w:r>
        <w:separator/>
      </w:r>
    </w:p>
  </w:endnote>
  <w:endnote w:type="continuationSeparator" w:id="0">
    <w:p w14:paraId="15794172" w14:textId="77777777" w:rsidR="008C7492" w:rsidRDefault="008C7492" w:rsidP="00D2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C408" w14:textId="7C0438FB" w:rsidR="00D26391" w:rsidRPr="00D26391" w:rsidRDefault="00D26391">
    <w:pPr>
      <w:pStyle w:val="Fuzeile"/>
      <w:rPr>
        <w:sz w:val="20"/>
        <w:szCs w:val="20"/>
      </w:rPr>
    </w:pPr>
    <w:r w:rsidRPr="00D26391">
      <w:rPr>
        <w:sz w:val="20"/>
        <w:szCs w:val="20"/>
      </w:rPr>
      <w:t xml:space="preserve">Stand </w:t>
    </w:r>
    <w:r w:rsidR="00595AB3">
      <w:rPr>
        <w:sz w:val="20"/>
        <w:szCs w:val="20"/>
      </w:rPr>
      <w:t>07</w:t>
    </w:r>
    <w:r w:rsidR="0022358F">
      <w:rPr>
        <w:sz w:val="20"/>
        <w:szCs w:val="20"/>
      </w:rPr>
      <w:t>.</w:t>
    </w:r>
    <w:r w:rsidR="00595AB3">
      <w:rPr>
        <w:sz w:val="20"/>
        <w:szCs w:val="20"/>
      </w:rPr>
      <w:t>02</w:t>
    </w:r>
    <w:r w:rsidRPr="00D26391">
      <w:rPr>
        <w:sz w:val="20"/>
        <w:szCs w:val="20"/>
      </w:rPr>
      <w:t>.202</w:t>
    </w:r>
    <w:r w:rsidR="00595AB3">
      <w:rPr>
        <w:sz w:val="20"/>
        <w:szCs w:val="20"/>
      </w:rPr>
      <w:t>3</w:t>
    </w:r>
  </w:p>
  <w:p w14:paraId="26FB5128" w14:textId="77777777" w:rsidR="00D26391" w:rsidRDefault="00D263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34BD" w14:textId="77777777" w:rsidR="008C7492" w:rsidRDefault="008C7492" w:rsidP="00D26391">
      <w:pPr>
        <w:spacing w:after="0" w:line="240" w:lineRule="auto"/>
      </w:pPr>
      <w:r>
        <w:separator/>
      </w:r>
    </w:p>
  </w:footnote>
  <w:footnote w:type="continuationSeparator" w:id="0">
    <w:p w14:paraId="4FA4FBE5" w14:textId="77777777" w:rsidR="008C7492" w:rsidRDefault="008C7492" w:rsidP="00D2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DE7"/>
    <w:multiLevelType w:val="hybridMultilevel"/>
    <w:tmpl w:val="CFEAF98E"/>
    <w:lvl w:ilvl="0" w:tplc="2AAEB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7CB7"/>
    <w:multiLevelType w:val="hybridMultilevel"/>
    <w:tmpl w:val="A566C10E"/>
    <w:lvl w:ilvl="0" w:tplc="1EC00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18B"/>
    <w:multiLevelType w:val="hybridMultilevel"/>
    <w:tmpl w:val="78AE4AFA"/>
    <w:lvl w:ilvl="0" w:tplc="0407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32D26A80"/>
    <w:multiLevelType w:val="hybridMultilevel"/>
    <w:tmpl w:val="17FED0D4"/>
    <w:lvl w:ilvl="0" w:tplc="0F0469B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60EFB"/>
    <w:multiLevelType w:val="hybridMultilevel"/>
    <w:tmpl w:val="28581CEC"/>
    <w:lvl w:ilvl="0" w:tplc="0110015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0DC4"/>
    <w:multiLevelType w:val="hybridMultilevel"/>
    <w:tmpl w:val="2576A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5A36"/>
    <w:multiLevelType w:val="hybridMultilevel"/>
    <w:tmpl w:val="C70222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14F8"/>
    <w:multiLevelType w:val="hybridMultilevel"/>
    <w:tmpl w:val="2B0017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EA2EC3"/>
    <w:multiLevelType w:val="hybridMultilevel"/>
    <w:tmpl w:val="B0BA4ED2"/>
    <w:lvl w:ilvl="0" w:tplc="501EDD1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7B"/>
    <w:rsid w:val="00000C3B"/>
    <w:rsid w:val="00000C62"/>
    <w:rsid w:val="00027908"/>
    <w:rsid w:val="00030100"/>
    <w:rsid w:val="00031470"/>
    <w:rsid w:val="0006279F"/>
    <w:rsid w:val="000A6D93"/>
    <w:rsid w:val="000D477B"/>
    <w:rsid w:val="000F4F13"/>
    <w:rsid w:val="000F507A"/>
    <w:rsid w:val="000F5439"/>
    <w:rsid w:val="00112C09"/>
    <w:rsid w:val="00112E58"/>
    <w:rsid w:val="00116F03"/>
    <w:rsid w:val="00130DDC"/>
    <w:rsid w:val="00132021"/>
    <w:rsid w:val="0015336D"/>
    <w:rsid w:val="001B28B3"/>
    <w:rsid w:val="001D6925"/>
    <w:rsid w:val="001E7B81"/>
    <w:rsid w:val="0022358F"/>
    <w:rsid w:val="00230715"/>
    <w:rsid w:val="00292F47"/>
    <w:rsid w:val="002A1869"/>
    <w:rsid w:val="002C3CC9"/>
    <w:rsid w:val="002D4088"/>
    <w:rsid w:val="002F240F"/>
    <w:rsid w:val="002F2659"/>
    <w:rsid w:val="00333106"/>
    <w:rsid w:val="003A611B"/>
    <w:rsid w:val="003B4F7A"/>
    <w:rsid w:val="003D4547"/>
    <w:rsid w:val="00444C98"/>
    <w:rsid w:val="00460C4D"/>
    <w:rsid w:val="00466367"/>
    <w:rsid w:val="00480846"/>
    <w:rsid w:val="0049052D"/>
    <w:rsid w:val="004A43CC"/>
    <w:rsid w:val="004D09D6"/>
    <w:rsid w:val="00552E07"/>
    <w:rsid w:val="005654E0"/>
    <w:rsid w:val="00572131"/>
    <w:rsid w:val="00582F8B"/>
    <w:rsid w:val="005939F7"/>
    <w:rsid w:val="00595AB3"/>
    <w:rsid w:val="005D3372"/>
    <w:rsid w:val="005E0232"/>
    <w:rsid w:val="005E3809"/>
    <w:rsid w:val="00601BA6"/>
    <w:rsid w:val="00607DFF"/>
    <w:rsid w:val="0061344D"/>
    <w:rsid w:val="00632F21"/>
    <w:rsid w:val="00670ED6"/>
    <w:rsid w:val="006E0D8A"/>
    <w:rsid w:val="006F509E"/>
    <w:rsid w:val="00717E52"/>
    <w:rsid w:val="00723969"/>
    <w:rsid w:val="00723A8E"/>
    <w:rsid w:val="00746F31"/>
    <w:rsid w:val="00753DD0"/>
    <w:rsid w:val="00754BE7"/>
    <w:rsid w:val="00756190"/>
    <w:rsid w:val="00776ACF"/>
    <w:rsid w:val="007A6D2C"/>
    <w:rsid w:val="00805F75"/>
    <w:rsid w:val="0080697B"/>
    <w:rsid w:val="00817586"/>
    <w:rsid w:val="00851FCB"/>
    <w:rsid w:val="00857C13"/>
    <w:rsid w:val="0086446E"/>
    <w:rsid w:val="00875EF4"/>
    <w:rsid w:val="00893179"/>
    <w:rsid w:val="008A39C0"/>
    <w:rsid w:val="008C7242"/>
    <w:rsid w:val="008C7492"/>
    <w:rsid w:val="008D668E"/>
    <w:rsid w:val="00931D43"/>
    <w:rsid w:val="00952B08"/>
    <w:rsid w:val="00953772"/>
    <w:rsid w:val="00970CDF"/>
    <w:rsid w:val="00981D5E"/>
    <w:rsid w:val="009851F5"/>
    <w:rsid w:val="009C20DC"/>
    <w:rsid w:val="009C31BF"/>
    <w:rsid w:val="009D1B78"/>
    <w:rsid w:val="009D42F6"/>
    <w:rsid w:val="009F5469"/>
    <w:rsid w:val="00A1786A"/>
    <w:rsid w:val="00A20A60"/>
    <w:rsid w:val="00A27B35"/>
    <w:rsid w:val="00AD6704"/>
    <w:rsid w:val="00AE003C"/>
    <w:rsid w:val="00AF4760"/>
    <w:rsid w:val="00B20FDB"/>
    <w:rsid w:val="00B90324"/>
    <w:rsid w:val="00B92806"/>
    <w:rsid w:val="00B92FA1"/>
    <w:rsid w:val="00BB00FB"/>
    <w:rsid w:val="00BB0327"/>
    <w:rsid w:val="00BC0351"/>
    <w:rsid w:val="00BC3EAE"/>
    <w:rsid w:val="00C1212D"/>
    <w:rsid w:val="00C2563C"/>
    <w:rsid w:val="00C310BE"/>
    <w:rsid w:val="00C447C8"/>
    <w:rsid w:val="00CC3C66"/>
    <w:rsid w:val="00CC4F96"/>
    <w:rsid w:val="00CE0AF3"/>
    <w:rsid w:val="00CE6A47"/>
    <w:rsid w:val="00CF40F2"/>
    <w:rsid w:val="00D12741"/>
    <w:rsid w:val="00D2509B"/>
    <w:rsid w:val="00D26391"/>
    <w:rsid w:val="00D320C8"/>
    <w:rsid w:val="00D34DF9"/>
    <w:rsid w:val="00D551B6"/>
    <w:rsid w:val="00D60014"/>
    <w:rsid w:val="00D63AFB"/>
    <w:rsid w:val="00D64269"/>
    <w:rsid w:val="00DA66C0"/>
    <w:rsid w:val="00DB04B8"/>
    <w:rsid w:val="00E1559C"/>
    <w:rsid w:val="00E53588"/>
    <w:rsid w:val="00E755CB"/>
    <w:rsid w:val="00E817E5"/>
    <w:rsid w:val="00E95420"/>
    <w:rsid w:val="00E96EA5"/>
    <w:rsid w:val="00EA5EE6"/>
    <w:rsid w:val="00EE2E3E"/>
    <w:rsid w:val="00F223C4"/>
    <w:rsid w:val="00F47275"/>
    <w:rsid w:val="00F67D1F"/>
    <w:rsid w:val="00F719ED"/>
    <w:rsid w:val="00F97039"/>
    <w:rsid w:val="00FA02F7"/>
    <w:rsid w:val="00FA226F"/>
    <w:rsid w:val="00FF0C3B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19FC"/>
  <w15:docId w15:val="{6E6764E6-84F0-4B7A-A157-07B25D12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D4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0A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0A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0A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0A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0AF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AF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61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391"/>
  </w:style>
  <w:style w:type="paragraph" w:styleId="Fuzeile">
    <w:name w:val="footer"/>
    <w:basedOn w:val="Standard"/>
    <w:link w:val="FuzeileZchn"/>
    <w:uiPriority w:val="99"/>
    <w:unhideWhenUsed/>
    <w:rsid w:val="00D2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391"/>
  </w:style>
  <w:style w:type="table" w:styleId="Tabellenraster">
    <w:name w:val="Table Grid"/>
    <w:basedOn w:val="NormaleTabelle"/>
    <w:uiPriority w:val="39"/>
    <w:rsid w:val="0003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54DB-BAA6-4E95-A91E-1087D4A2B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4CCCC-0F88-474F-A3AE-6D7E447B308A}"/>
</file>

<file path=customXml/itemProps3.xml><?xml version="1.0" encoding="utf-8"?>
<ds:datastoreItem xmlns:ds="http://schemas.openxmlformats.org/officeDocument/2006/customXml" ds:itemID="{4D98A594-6F7E-4E22-93FA-04291670E5AD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9976a5b6-dc90-4b10-9fe8-aa25f387bfb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43152C-30F2-4093-BC0B-09D2BFE6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Trapp, Benjamin (StMFH)</dc:creator>
  <cp:lastModifiedBy>Heuberger, Carolin (LDBV)</cp:lastModifiedBy>
  <cp:revision>3</cp:revision>
  <dcterms:created xsi:type="dcterms:W3CDTF">2023-02-07T09:51:00Z</dcterms:created>
  <dcterms:modified xsi:type="dcterms:W3CDTF">2023-02-07T12:37:00Z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0x010100134A4BCED1A6C6408C850C182976A842</vt:lpwstr>
  </property>
</Properties>
</file>